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2A" w:rsidRDefault="00FD2456" w:rsidP="00B6262A">
      <w:pPr>
        <w:pStyle w:val="a3"/>
        <w:jc w:val="center"/>
        <w:rPr>
          <w:rFonts w:ascii="Arial Black" w:hAnsi="Arial Black" w:cs="Arial Black"/>
          <w:caps/>
          <w:sz w:val="92"/>
          <w:szCs w:val="92"/>
        </w:rPr>
      </w:pPr>
      <w:r>
        <w:rPr>
          <w:rFonts w:ascii="Arial Black" w:hAnsi="Arial Black" w:cs="Arial Black"/>
          <w:caps/>
          <w:sz w:val="92"/>
          <w:szCs w:val="92"/>
        </w:rPr>
        <w:t>АДЕКВАТ</w:t>
      </w:r>
    </w:p>
    <w:p w:rsidR="00B6262A" w:rsidRPr="00637A04" w:rsidRDefault="00B6262A" w:rsidP="00637A04">
      <w:pPr>
        <w:pStyle w:val="a3"/>
        <w:jc w:val="both"/>
        <w:rPr>
          <w:rFonts w:ascii="KievitCY-Light" w:hAnsi="KievitCY-Light" w:cs="KievitCY-Light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Преимущества:</w:t>
      </w:r>
    </w:p>
    <w:p w:rsidR="00B6262A" w:rsidRDefault="00B6262A" w:rsidP="00637A04">
      <w:pPr>
        <w:pStyle w:val="a3"/>
        <w:numPr>
          <w:ilvl w:val="0"/>
          <w:numId w:val="1"/>
        </w:numPr>
        <w:ind w:left="284" w:hanging="284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Обладает высокой скоростью воздействия – уборку можно проводить через 4-7 дней после обработки.</w:t>
      </w:r>
    </w:p>
    <w:p w:rsidR="00B6262A" w:rsidRDefault="00B6262A" w:rsidP="00637A04">
      <w:pPr>
        <w:pStyle w:val="a3"/>
        <w:numPr>
          <w:ilvl w:val="0"/>
          <w:numId w:val="1"/>
        </w:numPr>
        <w:ind w:left="284" w:hanging="284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Действующее вещество быстро распадается в растениях, поэтому применение препарата на семенных посевах и культурах продовольственного назначения безопасно.</w:t>
      </w:r>
    </w:p>
    <w:p w:rsidR="00B6262A" w:rsidRDefault="00B6262A" w:rsidP="00637A04">
      <w:pPr>
        <w:pStyle w:val="a3"/>
        <w:numPr>
          <w:ilvl w:val="0"/>
          <w:numId w:val="1"/>
        </w:numPr>
        <w:ind w:left="284" w:hanging="284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Обеспечивает быстрое и равномерное созревание подсолнечника, что позволяет провести уборку в оптимальные сроки, в любых погодных условиях.</w:t>
      </w:r>
    </w:p>
    <w:p w:rsidR="00B6262A" w:rsidRDefault="00B6262A" w:rsidP="00637A04">
      <w:pPr>
        <w:pStyle w:val="a3"/>
        <w:numPr>
          <w:ilvl w:val="0"/>
          <w:numId w:val="1"/>
        </w:numPr>
        <w:ind w:left="284" w:hanging="284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Не смывается дождем через 10 минут после обработки.</w:t>
      </w:r>
    </w:p>
    <w:p w:rsidR="00637A04" w:rsidRDefault="00637A04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Light" w:hAnsi="KievitCY-Light" w:cs="KievitCY-Light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Механизм действия</w:t>
      </w:r>
    </w:p>
    <w:p w:rsidR="00B6262A" w:rsidRDefault="00B6262A" w:rsidP="00776839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Действующее вещество быстро поглощается зелеными частями растений и превращается в перекись водорода, разрушающую мембраны клеток. Это ведет к нарушению физиологических и биохимических процессов,  водоудерживающей способности тканей и гибели клеток, а в результате - к высыханию растений.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Light" w:hAnsi="KievitCY-Light" w:cs="KievitCY-Light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 xml:space="preserve">Симптомы воздействия </w:t>
      </w:r>
    </w:p>
    <w:p w:rsidR="00B6262A" w:rsidRDefault="00B6262A" w:rsidP="00776839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Постепенное увядание, пожелтение, затем усыхание сначала листьев, а затем и генеративных органов.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Light" w:hAnsi="KievitCY-Light" w:cs="KievitCY-Light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Скорость воздействия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Действие начинается сразу после опрыскивания (осадки, выпавшие через 10 минут после проведения обработки, не снижают эффективности). Визуально эффект десикации виден через 4-7 суток, в зависимости от температуры воздуха и степени созревания растений.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В солнечную погоду скорость действия препарата увеличивается, а в дождливую значительно снижается. В течение 7-10 дней после обработки влажность семян снижается на 12-15%.</w:t>
      </w:r>
    </w:p>
    <w:p w:rsidR="00B6262A" w:rsidRDefault="00B6262A" w:rsidP="00637A04">
      <w:pPr>
        <w:pStyle w:val="a3"/>
        <w:jc w:val="both"/>
        <w:rPr>
          <w:rFonts w:ascii="KievitCY-Bold" w:hAnsi="KievitCY-Bold" w:cs="KievitCY-Bold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Рекомендации по применению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На посевах подсолнечника АДЕКВАТ применяется в фазе  физиологической спелости семян</w:t>
      </w:r>
      <w:proofErr w:type="gramStart"/>
      <w:r>
        <w:rPr>
          <w:rFonts w:ascii="KievitCY-Light" w:hAnsi="KievitCY-Light" w:cs="KievitCY-Light"/>
          <w:sz w:val="20"/>
          <w:szCs w:val="20"/>
        </w:rPr>
        <w:t>.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</w:t>
      </w:r>
      <w:proofErr w:type="gramStart"/>
      <w:r>
        <w:rPr>
          <w:rFonts w:ascii="KievitCY-Light" w:hAnsi="KievitCY-Light" w:cs="KievitCY-Light"/>
          <w:sz w:val="20"/>
          <w:szCs w:val="20"/>
        </w:rPr>
        <w:t>п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ри влажности 30-35 % (влажность корзинок 70-80 %). 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На участках, где растения подсолнечника поражены серой или белой </w:t>
      </w:r>
      <w:proofErr w:type="spellStart"/>
      <w:r>
        <w:rPr>
          <w:rFonts w:ascii="KievitCY-Light" w:hAnsi="KievitCY-Light" w:cs="KievitCY-Light"/>
          <w:sz w:val="20"/>
          <w:szCs w:val="20"/>
        </w:rPr>
        <w:t>гнилями</w:t>
      </w:r>
      <w:proofErr w:type="spellEnd"/>
      <w:r>
        <w:rPr>
          <w:rFonts w:ascii="KievitCY-Light" w:hAnsi="KievitCY-Light" w:cs="KievitCY-Light"/>
          <w:sz w:val="20"/>
          <w:szCs w:val="20"/>
        </w:rPr>
        <w:t xml:space="preserve"> до 15 %, и/или  имеются симптомы поражения обертки и корзинки </w:t>
      </w:r>
      <w:proofErr w:type="spellStart"/>
      <w:r>
        <w:rPr>
          <w:rFonts w:ascii="KievitCY-Light" w:hAnsi="KievitCY-Light" w:cs="KievitCY-Light"/>
          <w:sz w:val="20"/>
          <w:szCs w:val="20"/>
        </w:rPr>
        <w:t>фомопсисом</w:t>
      </w:r>
      <w:proofErr w:type="spellEnd"/>
      <w:r>
        <w:rPr>
          <w:rFonts w:ascii="KievitCY-Light" w:hAnsi="KievitCY-Light" w:cs="KievitCY-Light"/>
          <w:sz w:val="20"/>
          <w:szCs w:val="20"/>
        </w:rPr>
        <w:t>, работы по десикации необходимо начинать раньше - при влажности семян 38-42 %.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Норма расхода рабочей жидкости варьируется от 200 л/га до 300 л/га</w:t>
      </w:r>
      <w:proofErr w:type="gramStart"/>
      <w:r>
        <w:rPr>
          <w:rFonts w:ascii="KievitCY-Light" w:hAnsi="KievitCY-Light" w:cs="KievitCY-Light"/>
          <w:sz w:val="20"/>
          <w:szCs w:val="20"/>
        </w:rPr>
        <w:t xml:space="preserve"> .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</w:t>
      </w:r>
    </w:p>
    <w:p w:rsidR="00637A04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При обработке хорошо облиственных культур с плотным стеблестоем норму расхода рабочего раствора следует увеличивать </w:t>
      </w:r>
      <w:proofErr w:type="gramStart"/>
      <w:r>
        <w:rPr>
          <w:rFonts w:ascii="KievitCY-Light" w:hAnsi="KievitCY-Light" w:cs="KievitCY-Light"/>
          <w:sz w:val="20"/>
          <w:szCs w:val="20"/>
        </w:rPr>
        <w:t>до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максимальной. 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Для приготовления рабочего раствора нужно использовать только чистую воду, без органических и минеральных примесей, а также обращать внимание на ее жесткость. 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lastRenderedPageBreak/>
        <w:t>Во избежание повреждения чувственных культур, обработку десикантом следует проводить, в случае направления ветра в их сторону, на расстоянии не менее 1500 м, а если ветер направлен в противоположную сторону,– не менее 100 м.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Факторы, влияющие на эффективность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Интенсивность десикации зависит от многих факторов: погодных условий, нормы расхода препарата и рабочего раствора, густоты стояния растений, засоренности посевов, качества нанесения рабочего раствора.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Наличие пыли, росы на поверхности растений, а также неблагоприятные условия уменьшают эффективность действия препарата.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Рекомендации по применению в неблагоприятных условиях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Не рекомендуется применять препарат при скорости ветра более 5 м/</w:t>
      </w:r>
      <w:proofErr w:type="gramStart"/>
      <w:r>
        <w:rPr>
          <w:rFonts w:ascii="KievitCY-Light" w:hAnsi="KievitCY-Light" w:cs="KievitCY-Light"/>
          <w:sz w:val="20"/>
          <w:szCs w:val="20"/>
        </w:rPr>
        <w:t>с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.  </w:t>
      </w:r>
      <w:proofErr w:type="gramStart"/>
      <w:r>
        <w:rPr>
          <w:rFonts w:ascii="KievitCY-Light" w:hAnsi="KievitCY-Light" w:cs="KievitCY-Light"/>
          <w:sz w:val="20"/>
          <w:szCs w:val="20"/>
        </w:rPr>
        <w:t>Во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время обработок необходимо следить, чтобы не было сноса препарата на соседние культуры.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При наличии большого количества вегетирующих сорняков, обладающих толстым </w:t>
      </w:r>
      <w:proofErr w:type="spellStart"/>
      <w:r>
        <w:rPr>
          <w:rFonts w:ascii="KievitCY-Light" w:hAnsi="KievitCY-Light" w:cs="KievitCY-Light"/>
          <w:sz w:val="20"/>
          <w:szCs w:val="20"/>
        </w:rPr>
        <w:t>кутикулярным</w:t>
      </w:r>
      <w:proofErr w:type="spellEnd"/>
      <w:r>
        <w:rPr>
          <w:rFonts w:ascii="KievitCY-Light" w:hAnsi="KievitCY-Light" w:cs="KievitCY-Light"/>
          <w:sz w:val="20"/>
          <w:szCs w:val="20"/>
        </w:rPr>
        <w:t xml:space="preserve"> слоем, рекомендуется увеличение нормы расхода препарата.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Рекомендуемые баковые смеси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Баковые смеси с другими пестицидами (инсектицидами, фунгицидами) не рекомендуются.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Возможность возникновения резистентности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Резистентность к препарату не выявлена.</w:t>
      </w:r>
    </w:p>
    <w:p w:rsidR="00B6262A" w:rsidRDefault="00B6262A" w:rsidP="00637A04">
      <w:pPr>
        <w:pStyle w:val="a3"/>
        <w:jc w:val="both"/>
        <w:rPr>
          <w:rFonts w:ascii="KievitCY-Bold" w:hAnsi="KievitCY-Bold" w:cs="KievitCY-Bold"/>
          <w:sz w:val="20"/>
          <w:szCs w:val="20"/>
        </w:rPr>
      </w:pPr>
      <w:bookmarkStart w:id="0" w:name="_GoBack"/>
      <w:bookmarkEnd w:id="0"/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Ограничения по севообороту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Не обладает почвенным действием, поэтому </w:t>
      </w:r>
      <w:proofErr w:type="gramStart"/>
      <w:r>
        <w:rPr>
          <w:rFonts w:ascii="KievitCY-Light" w:hAnsi="KievitCY-Light" w:cs="KievitCY-Light"/>
          <w:sz w:val="20"/>
          <w:szCs w:val="20"/>
        </w:rPr>
        <w:t>безопасен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для последующих культур севооборота.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proofErr w:type="spellStart"/>
      <w:r w:rsidRPr="00637A04">
        <w:rPr>
          <w:rFonts w:ascii="KievitCY-Bold" w:hAnsi="KievitCY-Bold" w:cs="KievitCY-Bold"/>
          <w:b/>
          <w:sz w:val="20"/>
          <w:szCs w:val="20"/>
        </w:rPr>
        <w:t>Фитотоксичность</w:t>
      </w:r>
      <w:proofErr w:type="spellEnd"/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>Контактный гербицид сплошного спектра действия. Не проникает в зародыш семени, не снижает всхожесть семян и не накапливается в продукции. Обработанные растения можно использовать для кормления скота через 4 дня после применения.</w:t>
      </w:r>
    </w:p>
    <w:p w:rsidR="00B6262A" w:rsidRDefault="00B6262A" w:rsidP="00637A04">
      <w:pPr>
        <w:pStyle w:val="a3"/>
        <w:jc w:val="both"/>
        <w:rPr>
          <w:rFonts w:ascii="KievitCY-Bold" w:hAnsi="KievitCY-Bold" w:cs="KievitCY-Bold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Совместимость</w:t>
      </w:r>
    </w:p>
    <w:p w:rsidR="00B6262A" w:rsidRDefault="00B6262A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  <w:r>
        <w:rPr>
          <w:rFonts w:ascii="KievitCY-Light" w:hAnsi="KievitCY-Light" w:cs="KievitCY-Light"/>
          <w:sz w:val="20"/>
          <w:szCs w:val="20"/>
        </w:rPr>
        <w:t xml:space="preserve">АДЕКВАТ совместим в баковых смесях с мочевиной и аммиачной селитрой. </w:t>
      </w:r>
    </w:p>
    <w:p w:rsidR="00776839" w:rsidRDefault="00776839" w:rsidP="00637A04">
      <w:pPr>
        <w:pStyle w:val="a3"/>
        <w:jc w:val="both"/>
        <w:rPr>
          <w:rFonts w:ascii="KievitCY-Light" w:hAnsi="KievitCY-Light" w:cs="KievitCY-Light"/>
          <w:sz w:val="20"/>
          <w:szCs w:val="20"/>
        </w:rPr>
      </w:pPr>
    </w:p>
    <w:p w:rsidR="00B6262A" w:rsidRPr="00637A04" w:rsidRDefault="00B6262A" w:rsidP="00637A04">
      <w:pPr>
        <w:pStyle w:val="a3"/>
        <w:jc w:val="both"/>
        <w:rPr>
          <w:rFonts w:ascii="KievitCY-Bold" w:hAnsi="KievitCY-Bold" w:cs="KievitCY-Bold"/>
          <w:b/>
          <w:sz w:val="20"/>
          <w:szCs w:val="20"/>
        </w:rPr>
      </w:pPr>
      <w:r w:rsidRPr="00637A04">
        <w:rPr>
          <w:rFonts w:ascii="KievitCY-Bold" w:hAnsi="KievitCY-Bold" w:cs="KievitCY-Bold"/>
          <w:b/>
          <w:sz w:val="20"/>
          <w:szCs w:val="20"/>
        </w:rPr>
        <w:t>Условия хранения</w:t>
      </w:r>
    </w:p>
    <w:p w:rsidR="00B6262A" w:rsidRDefault="00B6262A" w:rsidP="00637A04">
      <w:pPr>
        <w:pStyle w:val="a3"/>
        <w:jc w:val="both"/>
        <w:rPr>
          <w:rFonts w:asciiTheme="minorHAnsi" w:hAnsiTheme="minorHAnsi" w:cs="KievitCY-Light"/>
          <w:sz w:val="20"/>
          <w:szCs w:val="20"/>
          <w:lang w:val="en-US"/>
        </w:rPr>
      </w:pPr>
      <w:r>
        <w:rPr>
          <w:rFonts w:ascii="KievitCY-Light" w:hAnsi="KievitCY-Light" w:cs="KievitCY-Light"/>
          <w:sz w:val="20"/>
          <w:szCs w:val="20"/>
        </w:rPr>
        <w:t xml:space="preserve">При хранении избегать попадания прямых солнечных лучей и соблюдать рекомендуемые температурные интервалы. По истечении гарантийного срока хранения, препарат должен быть проверен на соответствие требованиям технических условий. При установлении соответствия, может быть </w:t>
      </w:r>
      <w:proofErr w:type="gramStart"/>
      <w:r>
        <w:rPr>
          <w:rFonts w:ascii="KievitCY-Light" w:hAnsi="KievitCY-Light" w:cs="KievitCY-Light"/>
          <w:sz w:val="20"/>
          <w:szCs w:val="20"/>
        </w:rPr>
        <w:t>использован</w:t>
      </w:r>
      <w:proofErr w:type="gramEnd"/>
      <w:r>
        <w:rPr>
          <w:rFonts w:ascii="KievitCY-Light" w:hAnsi="KievitCY-Light" w:cs="KievitCY-Light"/>
          <w:sz w:val="20"/>
          <w:szCs w:val="20"/>
        </w:rPr>
        <w:t xml:space="preserve"> по прямому назначению.</w:t>
      </w:r>
    </w:p>
    <w:p w:rsidR="00687FA4" w:rsidRDefault="00687FA4" w:rsidP="00637A04">
      <w:pPr>
        <w:jc w:val="both"/>
      </w:pPr>
    </w:p>
    <w:sectPr w:rsidR="00687FA4" w:rsidSect="001C323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KievitCY-Bold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KievitCY-Light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2E1"/>
    <w:multiLevelType w:val="hybridMultilevel"/>
    <w:tmpl w:val="76B69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2A"/>
    <w:rsid w:val="00195ADC"/>
    <w:rsid w:val="001C323E"/>
    <w:rsid w:val="003F5C9E"/>
    <w:rsid w:val="004712D8"/>
    <w:rsid w:val="00637A04"/>
    <w:rsid w:val="00687FA4"/>
    <w:rsid w:val="006B3EDA"/>
    <w:rsid w:val="00776839"/>
    <w:rsid w:val="008F622B"/>
    <w:rsid w:val="0098597B"/>
    <w:rsid w:val="00AB068B"/>
    <w:rsid w:val="00B54937"/>
    <w:rsid w:val="00B6262A"/>
    <w:rsid w:val="00C26DFC"/>
    <w:rsid w:val="00D30717"/>
    <w:rsid w:val="00DB29F0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62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626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Е.А.</dc:creator>
  <cp:lastModifiedBy>Виктор</cp:lastModifiedBy>
  <cp:revision>5</cp:revision>
  <dcterms:created xsi:type="dcterms:W3CDTF">2014-04-10T05:24:00Z</dcterms:created>
  <dcterms:modified xsi:type="dcterms:W3CDTF">2015-02-19T13:11:00Z</dcterms:modified>
</cp:coreProperties>
</file>